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以项目建设为中心组织经济工作，经济持续健康快速发展，呈现结构优、增速快、效益好、惠民生的稳中向快、快中趋优的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（一）规模工业快速增长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1-10月，全县完成规模工业增加值</w:t>
      </w:r>
      <w:r>
        <w:rPr>
          <w:rFonts w:hint="eastAsia" w:eastAsia="仿宋_GB2312"/>
          <w:b/>
          <w:sz w:val="20"/>
          <w:szCs w:val="22"/>
          <w:lang w:val="en-US" w:eastAsia="zh-CN"/>
        </w:rPr>
        <w:t>1220569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11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，工业用电量累计增速11.4%，工业增值税累计增速11.4%。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（二）投资驱动更显活力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  <w:sectPr>
          <w:footerReference r:id="rId3" w:type="default"/>
          <w:pgSz w:w="8419" w:h="11906"/>
          <w:pgMar w:top="1701" w:right="2699" w:bottom="1417" w:left="340" w:header="851" w:footer="992" w:gutter="0"/>
          <w:cols w:space="0" w:num="1"/>
          <w:rtlGutter w:val="0"/>
          <w:docGrid w:type="lines" w:linePitch="336" w:charSpace="0"/>
        </w:sectPr>
      </w:pPr>
      <w:r>
        <w:rPr>
          <w:rFonts w:hint="eastAsia" w:eastAsia="仿宋_GB2312"/>
          <w:b/>
          <w:sz w:val="20"/>
          <w:szCs w:val="22"/>
          <w:lang w:eastAsia="zh-CN"/>
        </w:rPr>
        <w:t>1-10月，全县完成固定资产投资总额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2003910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20.5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。从结构来看，</w:t>
      </w:r>
      <w:r>
        <w:rPr>
          <w:rFonts w:hint="eastAsia" w:eastAsia="仿宋_GB2312"/>
          <w:b/>
          <w:sz w:val="20"/>
          <w:szCs w:val="22"/>
          <w:lang w:eastAsia="zh-CN"/>
        </w:rPr>
        <w:t>工业投资完成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780477万元，</w:t>
      </w:r>
      <w:r>
        <w:rPr>
          <w:rFonts w:hint="eastAsia" w:eastAsia="仿宋_GB2312"/>
          <w:b/>
          <w:sz w:val="20"/>
          <w:szCs w:val="22"/>
          <w:lang w:eastAsia="zh-CN"/>
        </w:rPr>
        <w:t>占总投资比重</w:t>
      </w:r>
      <w:r>
        <w:rPr>
          <w:rFonts w:hint="eastAsia" w:eastAsia="仿宋_GB2312"/>
          <w:b/>
          <w:sz w:val="20"/>
          <w:szCs w:val="22"/>
          <w:lang w:val="en-US" w:eastAsia="zh-CN"/>
        </w:rPr>
        <w:t>39%，高新投资123957万元，占工业投资比重达15.9%，民间投资948652万元，同比大幅增长74.6%，占总投资比重47%</w:t>
      </w:r>
      <w:r>
        <w:rPr>
          <w:rFonts w:hint="eastAsia" w:eastAsia="仿宋_GB2312"/>
          <w:b/>
          <w:sz w:val="20"/>
          <w:szCs w:val="22"/>
          <w:lang w:eastAsia="zh-CN"/>
        </w:rPr>
        <w:t>。从规模来看，</w:t>
      </w:r>
      <w:r>
        <w:rPr>
          <w:rFonts w:hint="eastAsia" w:eastAsia="仿宋_GB2312"/>
          <w:b/>
          <w:sz w:val="20"/>
          <w:szCs w:val="22"/>
          <w:lang w:val="en-US" w:eastAsia="zh-CN"/>
        </w:rPr>
        <w:t>5000万以上项目投资完成1237210万元，增速22.4%；5000万以下项目投资397465万元，增速26.7%；房地产投资397465万元，增长9.8%。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（三）消费需求比较活跃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1-10月，全县实现社会消费品零售总额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1529925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13.2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。其中城镇实现1355154万元，增长13.1%，乡村实现174771万元，增长13.9%。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（四）财政收入平稳增长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全县完成财政总收入（不包括基金收入）</w:t>
      </w:r>
      <w:r>
        <w:rPr>
          <w:rFonts w:hint="eastAsia" w:eastAsia="仿宋_GB2312"/>
          <w:b/>
          <w:sz w:val="20"/>
          <w:szCs w:val="22"/>
          <w:lang w:val="en-US" w:eastAsia="zh-CN"/>
        </w:rPr>
        <w:t>189363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3.72</w:t>
      </w:r>
      <w:r>
        <w:rPr>
          <w:rFonts w:hint="eastAsia" w:eastAsia="仿宋_GB2312"/>
          <w:b/>
          <w:sz w:val="20"/>
          <w:szCs w:val="22"/>
          <w:lang w:eastAsia="zh-CN"/>
        </w:rPr>
        <w:t>%，一般预算收入完成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113808</w:t>
      </w:r>
      <w:r>
        <w:rPr>
          <w:rFonts w:hint="eastAsia" w:eastAsia="仿宋_GB2312"/>
          <w:b/>
          <w:sz w:val="20"/>
          <w:szCs w:val="22"/>
          <w:lang w:eastAsia="zh-CN"/>
        </w:rPr>
        <w:t>万元，同比降低</w:t>
      </w:r>
      <w:r>
        <w:rPr>
          <w:rFonts w:hint="eastAsia" w:eastAsia="仿宋_GB2312"/>
          <w:b/>
          <w:sz w:val="20"/>
          <w:szCs w:val="22"/>
          <w:lang w:val="en-US" w:eastAsia="zh-CN"/>
        </w:rPr>
        <w:t>0.18</w:t>
      </w:r>
      <w:r>
        <w:rPr>
          <w:rFonts w:hint="eastAsia" w:eastAsia="仿宋_GB2312"/>
          <w:b/>
          <w:sz w:val="20"/>
          <w:szCs w:val="22"/>
          <w:lang w:eastAsia="zh-CN"/>
        </w:rPr>
        <w:t>%，非税收入占总收入比重</w:t>
      </w:r>
      <w:r>
        <w:rPr>
          <w:rFonts w:hint="eastAsia" w:eastAsia="仿宋_GB2312"/>
          <w:b/>
          <w:sz w:val="20"/>
          <w:szCs w:val="22"/>
          <w:lang w:val="en-US" w:eastAsia="zh-CN"/>
        </w:rPr>
        <w:t>76.14%。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（五）金融信贷运行稳健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-10月，我县金融机构各项存款余额4682666万元比上月减少14072万元，降幅0.3%，比年初增长117231万元，增幅2.57%，去年同期比年初增加723852万元。贷款余额2359230万元，比上月减少1433万元，降幅0.48%，比年初增加128053万元，增幅5.74%，去年同期比年初增加数为37313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  <w:sectPr>
          <w:pgSz w:w="8419" w:h="11906"/>
          <w:pgMar w:top="1701" w:right="340" w:bottom="1417" w:left="2699" w:header="851" w:footer="992" w:gutter="0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00" w:type="dxa"/>
        <w:jc w:val="center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footerReference r:id="rId4" w:type="default"/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0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-5.5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59" w:type="dxa"/>
        <w:jc w:val="center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80"/>
        <w:gridCol w:w="1199"/>
        <w:gridCol w:w="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7789906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1032915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祥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587834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塔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110132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东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1529924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邵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617303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阳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765412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回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829137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口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711251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318109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443826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步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228925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冈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615137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704597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-12.29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本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-2.53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-20.66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-16.14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-28.89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-30.59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-29.48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-38.07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-10.07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-41.69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-19.94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66" w:type="dxa"/>
        <w:jc w:val="center"/>
        <w:tblInd w:w="8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5"/>
        <w:gridCol w:w="1260"/>
        <w:gridCol w:w="1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7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718184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529158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109096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63127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49278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36481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19537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150328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122329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86166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66231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64045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52202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45665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31604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60768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43845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51995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43603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47942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36612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29363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22484 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1226682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本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-2.48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-7.97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-13.82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-24.06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-35.11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-9.86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tbl>
      <w:tblPr>
        <w:tblStyle w:val="6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工业投资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000000"/>
          <w:kern w:val="2"/>
          <w:sz w:val="20"/>
          <w:szCs w:val="20"/>
          <w:lang w:val="zh-CN"/>
        </w:r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5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00" w:type="dxa"/>
        <w:jc w:val="center"/>
        <w:tblInd w:w="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1148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5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2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一、生产总值（GDP）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第一产业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第二产业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#工业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第三产业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 二、农业总产值（现价）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#</w:t>
            </w:r>
            <w:r>
              <w:rPr>
                <w:rFonts w:eastAsia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5375193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1、增加值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1220569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股份制企业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1169201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外商及港澳台企业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其它类型企业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总计中：轻工业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重工业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总计中：国有及控股企业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336034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1048920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302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rPr>
                <w:rFonts w:hint="eastAsia" w:eastAsia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2、工业产品销售产值（现价）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5350777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3、工业产品销售（%）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2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250"/>
        <w:gridCol w:w="1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5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4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29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29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29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全社会用电总量(万千瓦时)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54" w:firstLineChars="196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50700</w:t>
            </w:r>
          </w:p>
        </w:tc>
        <w:tc>
          <w:tcPr>
            <w:tcW w:w="1236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2003910</w:t>
            </w:r>
          </w:p>
        </w:tc>
        <w:tc>
          <w:tcPr>
            <w:tcW w:w="1236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其中：房地产投资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368935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1237210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1529925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8" w:firstLineChars="243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城镇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1355154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乡村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174771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152732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sz w:val="20"/>
              </w:rPr>
              <w:t>零售业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1208555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95" w:firstLineChars="6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30413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</w:t>
            </w:r>
            <w:r>
              <w:rPr>
                <w:rFonts w:eastAsia="仿宋_GB2312"/>
                <w:b/>
                <w:color w:val="auto"/>
                <w:sz w:val="20"/>
              </w:rPr>
              <w:t>餐饮业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138224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总计中：限额以上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761006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限额以下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768918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实际利用外资额（万美元）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自营进出口总额（万美元）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85" w:firstLineChars="441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其中：进口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70" w:firstLineChars="732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出口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64702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6"/>
        <w:tblW w:w="5480" w:type="dxa"/>
        <w:jc w:val="center"/>
        <w:tblInd w:w="1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317"/>
        <w:gridCol w:w="1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90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290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  <w:jc w:val="center"/>
        </w:trPr>
        <w:tc>
          <w:tcPr>
            <w:tcW w:w="290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189363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144177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45186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113808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77116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省级收入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14702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中央收入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60853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按征收部门分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国税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90918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地税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57799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财政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40646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>2、财政</w:t>
            </w:r>
            <w:r>
              <w:rPr>
                <w:rFonts w:hint="eastAsia" w:eastAsia="仿宋_GB2312"/>
                <w:b/>
                <w:color w:val="auto"/>
                <w:sz w:val="20"/>
                <w:lang w:eastAsia="zh-CN"/>
              </w:rPr>
              <w:t>总支出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691156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2905" w:type="dxa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一般预算支出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637506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>政府性基金预算支出合计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53650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widowControl/>
        <w:spacing w:line="400" w:lineRule="exact"/>
        <w:jc w:val="both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660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1263"/>
        <w:gridCol w:w="1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00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0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全社会客运量（万人）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0"/>
              </w:rPr>
              <w:t>客运周转量（万人公里）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51180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全社会货运量（万吨）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1599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周转量（万吨公里）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114500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pPr w:leftFromText="180" w:rightFromText="180" w:vertAnchor="text" w:horzAnchor="page" w:tblpX="2715" w:tblpY="52"/>
        <w:tblOverlap w:val="never"/>
        <w:tblW w:w="5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055"/>
        <w:gridCol w:w="908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52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52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5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5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4682666</w:t>
            </w:r>
          </w:p>
        </w:tc>
        <w:tc>
          <w:tcPr>
            <w:tcW w:w="908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117231</w:t>
            </w:r>
          </w:p>
        </w:tc>
        <w:tc>
          <w:tcPr>
            <w:tcW w:w="89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2164020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101828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1178971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51746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Style w:val="9"/>
                <w:rFonts w:eastAsia="仿宋_GB2312"/>
                <w:color w:val="auto"/>
              </w:rPr>
              <w:t>住户存款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3562128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317695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非金融企业存款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608857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-154215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广义政府存款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-46374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2359230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128053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4483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693677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81575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9"/>
                <w:rFonts w:eastAsia="仿宋_GB2312"/>
                <w:color w:val="auto"/>
              </w:rPr>
              <w:t>住户贷款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1204323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69391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577766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40772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  </w:t>
            </w:r>
            <w:r>
              <w:rPr>
                <w:rStyle w:val="9"/>
                <w:rFonts w:eastAsia="仿宋_GB2312"/>
                <w:color w:val="auto"/>
              </w:rPr>
              <w:t>经营贷款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626557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28619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9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1154907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58662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199662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5" w:type="default"/>
      <w:pgSz w:w="8419" w:h="11906"/>
      <w:pgMar w:top="1701" w:right="340" w:bottom="1417" w:left="2699" w:header="567" w:footer="1417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914"/>
    <w:rsid w:val="00217AE9"/>
    <w:rsid w:val="04D54552"/>
    <w:rsid w:val="08402229"/>
    <w:rsid w:val="08BF11E4"/>
    <w:rsid w:val="08EE58C2"/>
    <w:rsid w:val="09BE4B56"/>
    <w:rsid w:val="0B2531DC"/>
    <w:rsid w:val="0C2B6485"/>
    <w:rsid w:val="0C5C619C"/>
    <w:rsid w:val="0D806369"/>
    <w:rsid w:val="0DAD7622"/>
    <w:rsid w:val="146F4BEC"/>
    <w:rsid w:val="1737135E"/>
    <w:rsid w:val="1A6A2537"/>
    <w:rsid w:val="1FDA3E43"/>
    <w:rsid w:val="203B6AC5"/>
    <w:rsid w:val="2048656B"/>
    <w:rsid w:val="22B26FF0"/>
    <w:rsid w:val="258A02D3"/>
    <w:rsid w:val="265A0FFA"/>
    <w:rsid w:val="28097CF3"/>
    <w:rsid w:val="2A8B0128"/>
    <w:rsid w:val="2CB57E54"/>
    <w:rsid w:val="2DB97987"/>
    <w:rsid w:val="30060363"/>
    <w:rsid w:val="30104CDD"/>
    <w:rsid w:val="35245044"/>
    <w:rsid w:val="3670418F"/>
    <w:rsid w:val="3C1C5F8C"/>
    <w:rsid w:val="3E7F6025"/>
    <w:rsid w:val="3EBB2BFA"/>
    <w:rsid w:val="43AC2C75"/>
    <w:rsid w:val="463A4C1F"/>
    <w:rsid w:val="46F92E21"/>
    <w:rsid w:val="489521B4"/>
    <w:rsid w:val="520B3525"/>
    <w:rsid w:val="5234411B"/>
    <w:rsid w:val="5AE346E7"/>
    <w:rsid w:val="5C17457B"/>
    <w:rsid w:val="5E411CA3"/>
    <w:rsid w:val="603E45C2"/>
    <w:rsid w:val="60AF51DD"/>
    <w:rsid w:val="645B3CB0"/>
    <w:rsid w:val="67F81FF3"/>
    <w:rsid w:val="6D535020"/>
    <w:rsid w:val="6E9B214B"/>
    <w:rsid w:val="71D47CE5"/>
    <w:rsid w:val="733523DD"/>
    <w:rsid w:val="77B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22</TotalTime>
  <ScaleCrop>false</ScaleCrop>
  <LinksUpToDate>false</LinksUpToDate>
  <CharactersWithSpaces>7506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2018-11-28T01:41:00Z</cp:lastPrinted>
  <dcterms:modified xsi:type="dcterms:W3CDTF">2018-11-28T07:25:24Z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