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4B74" w14:textId="77777777" w:rsidR="00261023" w:rsidRDefault="00261023" w:rsidP="00261023">
      <w:pPr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833907C" w14:textId="77777777" w:rsidR="00261023" w:rsidRDefault="00261023" w:rsidP="00261023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邵东市支持金融业高质量发展的</w:t>
      </w:r>
    </w:p>
    <w:p w14:paraId="7D3ABBBC" w14:textId="77777777" w:rsidR="00261023" w:rsidRDefault="00261023" w:rsidP="00261023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若 干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措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施</w:t>
      </w:r>
    </w:p>
    <w:p w14:paraId="51412191" w14:textId="77777777" w:rsidR="00261023" w:rsidRDefault="00261023" w:rsidP="00261023">
      <w:pPr>
        <w:spacing w:line="70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  <w:lang w:val="e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"/>
        </w:rPr>
        <w:t>（征求意见稿）</w:t>
      </w:r>
    </w:p>
    <w:p w14:paraId="4AB1A4B2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 w:hint="eastAsia"/>
          <w:sz w:val="32"/>
          <w:szCs w:val="48"/>
        </w:rPr>
      </w:pPr>
    </w:p>
    <w:p w14:paraId="1C082585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为进一步优化金融业发展环境，培育壮大金融服务业，为更好服务全面落实“三高四新”战略定位和使命任务提供金融支撑，结合我市实际，特制定如下措施：</w:t>
      </w:r>
    </w:p>
    <w:p w14:paraId="7F942585" w14:textId="77777777" w:rsidR="00261023" w:rsidRDefault="00261023" w:rsidP="00261023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一、支持各类金融机构聚集发展</w:t>
      </w:r>
    </w:p>
    <w:p w14:paraId="71706715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对新设或引进的银行市（县）级分支机构，一次性给予50万元奖励；对新设或引进的保险、证券、期货、信托、金融租赁等金融机构市（县）级分支机构，一次性给予30万元奖励；对新设的融资担保公司、小额贷款公司及其他市（县）级地方金融组织，一次性给予10万元奖励。</w:t>
      </w:r>
    </w:p>
    <w:p w14:paraId="002F95EE" w14:textId="77777777" w:rsidR="00261023" w:rsidRDefault="00261023" w:rsidP="00261023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二、鼓励加大实体经济信贷投放</w:t>
      </w:r>
    </w:p>
    <w:p w14:paraId="3C978455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对银行业金融机构，当年信贷投入总净增额每增加1亿元，奖励2万元，单个机构每年奖励总额不超过100万元。对金融机构面向上市后备企业、小微企业、专精特新小巨人企业、科技型企业开展的纯信用贷款、知识产权质押贷款、股权质押贷款、应收账款质押贷款、仓单质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押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贷款、出口保单贷款、首次贷款，按年度贷款总额的0.05%给予奖励，每家金融机构每年奖励最高不超过50万元。</w:t>
      </w:r>
    </w:p>
    <w:p w14:paraId="1BBC858D" w14:textId="77777777" w:rsidR="00261023" w:rsidRDefault="00261023" w:rsidP="00261023">
      <w:pPr>
        <w:numPr>
          <w:ilvl w:val="0"/>
          <w:numId w:val="1"/>
        </w:num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建立健全风险分担补偿机制</w:t>
      </w:r>
    </w:p>
    <w:p w14:paraId="2A5C3DD4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lastRenderedPageBreak/>
        <w:t>整合相关风险补偿资金，优化实体企业信贷风险补偿资金管理办法，建立多元化的风险缓释机制，对实体企业信用贷款及知识产权质押贷款、股权质押贷款、应收账款质押贷款、仓单质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押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贷款等政策性创新金融产品形成的损失进行风险补偿。</w:t>
      </w:r>
    </w:p>
    <w:p w14:paraId="2FBCAC0F" w14:textId="77777777" w:rsidR="00261023" w:rsidRDefault="00261023" w:rsidP="00261023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四、发展股权投资业</w:t>
      </w:r>
    </w:p>
    <w:p w14:paraId="74217E35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对新成立的各类股权投资机构，实缴资本达到5000万元的，当年实际投资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邵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东非上市企业累计投资达到1亿元，一次性给予80万元奖励。对公司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制设立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的股权投资企业和股权投资管理企业及有限合伙企业的有限合伙人，由市财政按其市本级贡献大小给予奖励。对基金及其委托管理机构均在邵东注册纳税的合伙企业制基金，给予其委托管理机构募资奖励：基金实缴规模达5亿元的，奖励50万元；实缴规模达10亿元的，奖励100万元；实缴规模达30亿元的，奖励200万元。</w:t>
      </w:r>
    </w:p>
    <w:p w14:paraId="43F3B163" w14:textId="77777777" w:rsidR="00261023" w:rsidRDefault="00261023" w:rsidP="00261023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五、鼓励发行债券融资</w:t>
      </w:r>
    </w:p>
    <w:p w14:paraId="76E8FFCC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对通过发行企业债、公司债、可转债、中期票据、短期融资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券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、中小企业私募债、RELTS及其他新型直接债务融资工具融资，且所融资金70%以上在邵东投资的民营企业，按照其新增债券融资规模的0.2%给予补贴，单家企业每年补贴最高不超过100万元。</w:t>
      </w:r>
    </w:p>
    <w:p w14:paraId="63AA3755" w14:textId="77777777" w:rsidR="00261023" w:rsidRDefault="00261023" w:rsidP="00261023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六、支持企业上市挂牌</w:t>
      </w:r>
    </w:p>
    <w:p w14:paraId="1419AC65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建立健全上市后备企业培育库，实行梯度培育，推动企业上市挂牌，对企业境内外上市、外地上市公司迁入、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省股</w:t>
      </w:r>
      <w:r>
        <w:rPr>
          <w:rFonts w:ascii="仿宋_GB2312" w:eastAsia="仿宋_GB2312" w:hAnsi="仿宋_GB2312" w:cs="宋体" w:hint="eastAsia"/>
          <w:sz w:val="32"/>
          <w:szCs w:val="48"/>
        </w:rPr>
        <w:lastRenderedPageBreak/>
        <w:t>交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所挂牌企业、省重点上市后备企业给予奖励。具体奖励标准按照邵东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市推动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企业上市的相关政策执行。</w:t>
      </w:r>
    </w:p>
    <w:p w14:paraId="37F7637A" w14:textId="77777777" w:rsidR="00261023" w:rsidRDefault="00261023" w:rsidP="00261023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七、鼓励政</w:t>
      </w:r>
      <w:proofErr w:type="gramStart"/>
      <w:r>
        <w:rPr>
          <w:rFonts w:ascii="黑体" w:eastAsia="黑体" w:hAnsi="黑体" w:cs="黑体" w:hint="eastAsia"/>
          <w:sz w:val="32"/>
          <w:szCs w:val="48"/>
        </w:rPr>
        <w:t>金合作</w:t>
      </w:r>
      <w:proofErr w:type="gramEnd"/>
      <w:r>
        <w:rPr>
          <w:rFonts w:ascii="黑体" w:eastAsia="黑体" w:hAnsi="黑体" w:cs="黑体" w:hint="eastAsia"/>
          <w:sz w:val="32"/>
          <w:szCs w:val="48"/>
        </w:rPr>
        <w:t>招商</w:t>
      </w:r>
    </w:p>
    <w:p w14:paraId="28B00F6C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对金融机构提供有效项目信息并协助项目引进的，根据项目固定资产投资累计实际到位资金的0.1%给予奖励，每家机构年内奖励最高不超过100万元。引入保险资金支持我市经济发展的，按其当年引入资金绝对新增额的0.1%给予每家机构最高不超过100万元奖励。</w:t>
      </w:r>
    </w:p>
    <w:p w14:paraId="054C5C62" w14:textId="77777777" w:rsidR="00261023" w:rsidRDefault="00261023" w:rsidP="00261023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八、开展金融支持经济发展突出贡献单位评选</w:t>
      </w:r>
    </w:p>
    <w:p w14:paraId="5D80CD47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每年对在邵东金融机构（企业）服务实体、改善民生、支持政府化债及园区平台公司融资等方面进行评价，评价结果与支持政策、财政性存款、引导域外乡贤存款、优质客户资源推荐、工资代发等挂钩。对贡献突出的银行高管，根据其贡献大小给予奖补。对为地方经济社会发展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作出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突出贡献的金融机构领导干部，由市委、市政府向省、邵阳市级金融机构推荐重用，优先推荐作为省、市人大代表、政协委员人选，由市总工会优先推荐为劳动模范，并在子女入学、在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邵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就医方面享受优先服务。</w:t>
      </w:r>
    </w:p>
    <w:p w14:paraId="3150070B" w14:textId="77777777" w:rsidR="00261023" w:rsidRDefault="00261023" w:rsidP="00261023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九、支持处置不良贷款</w:t>
      </w:r>
    </w:p>
    <w:p w14:paraId="662AFA33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支持银行机构按照政策加大拨备计提，对符合条件的不良贷款进行核销。支持通过优质资产置换、土地收储、二次招商引资、债务平移等方式，帮助金融机构盘活不良贷款。对金融机构接受、持有和处置抵债资产时涉及的国土、房产等相关税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费地方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留存部分，根据金融机构贡献大小按比例先</w:t>
      </w:r>
      <w:r>
        <w:rPr>
          <w:rFonts w:ascii="仿宋_GB2312" w:eastAsia="仿宋_GB2312" w:hAnsi="仿宋_GB2312" w:cs="宋体" w:hint="eastAsia"/>
          <w:sz w:val="32"/>
          <w:szCs w:val="48"/>
        </w:rPr>
        <w:lastRenderedPageBreak/>
        <w:t>征收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后奖补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，降低不良资产处置成本。</w:t>
      </w:r>
    </w:p>
    <w:p w14:paraId="19CD6221" w14:textId="77777777" w:rsidR="00261023" w:rsidRDefault="00261023" w:rsidP="00261023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十、确保政策措施落实见效</w:t>
      </w:r>
    </w:p>
    <w:p w14:paraId="773A392B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 w:hint="eastAsia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将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本措施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各项政策涉及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的奖补资金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纳入财政预算，同一市场主体按照“就高不重复”的原则，不得就相同事项申请市级层面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不同奖补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资金。享受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本措施奖补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政策的市场主体在5年内迁离邵东或减少注册资本的，应当按照规定退回</w:t>
      </w: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相应奖补资金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。</w:t>
      </w:r>
    </w:p>
    <w:p w14:paraId="0FB014C5" w14:textId="77777777" w:rsidR="00261023" w:rsidRDefault="00261023" w:rsidP="00261023">
      <w:pPr>
        <w:spacing w:line="580" w:lineRule="exact"/>
        <w:ind w:firstLineChars="200" w:firstLine="640"/>
        <w:rPr>
          <w:rFonts w:ascii="仿宋_GB2312" w:eastAsia="仿宋_GB2312" w:hAnsi="仿宋_GB2312" w:cs="宋体" w:hint="eastAsia"/>
          <w:sz w:val="32"/>
          <w:szCs w:val="48"/>
        </w:rPr>
      </w:pPr>
      <w:proofErr w:type="gramStart"/>
      <w:r>
        <w:rPr>
          <w:rFonts w:ascii="仿宋_GB2312" w:eastAsia="仿宋_GB2312" w:hAnsi="仿宋_GB2312" w:cs="宋体" w:hint="eastAsia"/>
          <w:sz w:val="32"/>
          <w:szCs w:val="48"/>
        </w:rPr>
        <w:t>本措施</w:t>
      </w:r>
      <w:proofErr w:type="gramEnd"/>
      <w:r>
        <w:rPr>
          <w:rFonts w:ascii="仿宋_GB2312" w:eastAsia="仿宋_GB2312" w:hAnsi="仿宋_GB2312" w:cs="宋体" w:hint="eastAsia"/>
          <w:sz w:val="32"/>
          <w:szCs w:val="48"/>
        </w:rPr>
        <w:t>自印发之日起实施，由市政府办（金融办）负责解释，有效期5年。实施过程中，如上级国家机关及本市有新规定的，从其规定。</w:t>
      </w:r>
    </w:p>
    <w:p w14:paraId="71197DA4" w14:textId="77777777" w:rsidR="00261023" w:rsidRDefault="00261023" w:rsidP="00261023">
      <w:pPr>
        <w:pStyle w:val="a0"/>
        <w:spacing w:line="580" w:lineRule="exact"/>
        <w:rPr>
          <w:rFonts w:ascii="仿宋_GB2312" w:eastAsia="仿宋_GB2312" w:hAnsi="仿宋_GB2312" w:cs="宋体" w:hint="eastAsia"/>
          <w:sz w:val="32"/>
          <w:szCs w:val="48"/>
        </w:rPr>
      </w:pPr>
    </w:p>
    <w:p w14:paraId="79F5DFA1" w14:textId="77777777" w:rsidR="00261023" w:rsidRDefault="00261023" w:rsidP="00261023">
      <w:pPr>
        <w:pStyle w:val="a0"/>
        <w:spacing w:line="580" w:lineRule="exact"/>
        <w:rPr>
          <w:rFonts w:ascii="仿宋_GB2312" w:eastAsia="仿宋_GB2312" w:hAnsi="仿宋_GB2312" w:cs="宋体" w:hint="eastAsia"/>
          <w:sz w:val="32"/>
          <w:szCs w:val="48"/>
        </w:rPr>
      </w:pPr>
    </w:p>
    <w:p w14:paraId="689128C9" w14:textId="77777777" w:rsidR="00261023" w:rsidRDefault="00261023" w:rsidP="00261023">
      <w:pPr>
        <w:spacing w:line="580" w:lineRule="exact"/>
        <w:ind w:firstLineChars="1400" w:firstLine="4480"/>
        <w:rPr>
          <w:rFonts w:ascii="仿宋_GB2312" w:eastAsia="仿宋_GB2312" w:hAnsi="仿宋_GB2312" w:cs="宋体" w:hint="eastAsia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>邵东市人民政府办公室</w:t>
      </w:r>
    </w:p>
    <w:p w14:paraId="23D68641" w14:textId="77777777" w:rsidR="00261023" w:rsidRDefault="00261023" w:rsidP="00261023">
      <w:pPr>
        <w:pStyle w:val="a0"/>
        <w:spacing w:line="580" w:lineRule="exact"/>
        <w:rPr>
          <w:rFonts w:ascii="仿宋_GB2312" w:eastAsia="仿宋_GB2312" w:hAnsi="仿宋_GB2312" w:cs="宋体" w:hint="eastAsia"/>
          <w:sz w:val="32"/>
          <w:szCs w:val="48"/>
        </w:rPr>
      </w:pPr>
      <w:r>
        <w:rPr>
          <w:rFonts w:ascii="仿宋_GB2312" w:eastAsia="仿宋_GB2312" w:hAnsi="仿宋_GB2312" w:cs="宋体" w:hint="eastAsia"/>
          <w:sz w:val="32"/>
          <w:szCs w:val="48"/>
        </w:rPr>
        <w:t xml:space="preserve">                               2023年3月1日</w:t>
      </w:r>
    </w:p>
    <w:p w14:paraId="687AC25F" w14:textId="77777777" w:rsidR="007F6443" w:rsidRPr="00261023" w:rsidRDefault="007F6443"/>
    <w:sectPr w:rsidR="007F6443" w:rsidRPr="0026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242B" w14:textId="77777777" w:rsidR="00C62EE7" w:rsidRDefault="00C62EE7" w:rsidP="00261023">
      <w:r>
        <w:separator/>
      </w:r>
    </w:p>
  </w:endnote>
  <w:endnote w:type="continuationSeparator" w:id="0">
    <w:p w14:paraId="59CAEEAD" w14:textId="77777777" w:rsidR="00C62EE7" w:rsidRDefault="00C62EE7" w:rsidP="0026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charset w:val="00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432D" w14:textId="77777777" w:rsidR="00C62EE7" w:rsidRDefault="00C62EE7" w:rsidP="00261023">
      <w:r>
        <w:separator/>
      </w:r>
    </w:p>
  </w:footnote>
  <w:footnote w:type="continuationSeparator" w:id="0">
    <w:p w14:paraId="2E063FB2" w14:textId="77777777" w:rsidR="00C62EE7" w:rsidRDefault="00C62EE7" w:rsidP="0026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4D6B6"/>
    <w:multiLevelType w:val="singleLevel"/>
    <w:tmpl w:val="A514D6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7735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43"/>
    <w:rsid w:val="00261023"/>
    <w:rsid w:val="007F6443"/>
    <w:rsid w:val="00C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5163FE-F89E-4A53-9659-1566C90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102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610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610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1023"/>
    <w:rPr>
      <w:sz w:val="18"/>
      <w:szCs w:val="18"/>
    </w:rPr>
  </w:style>
  <w:style w:type="paragraph" w:styleId="a0">
    <w:name w:val="Body Text"/>
    <w:basedOn w:val="a"/>
    <w:link w:val="a8"/>
    <w:qFormat/>
    <w:rsid w:val="00261023"/>
    <w:rPr>
      <w:sz w:val="44"/>
    </w:rPr>
  </w:style>
  <w:style w:type="character" w:customStyle="1" w:styleId="a8">
    <w:name w:val="正文文本 字符"/>
    <w:basedOn w:val="a1"/>
    <w:link w:val="a0"/>
    <w:rsid w:val="00261023"/>
    <w:rPr>
      <w:rFonts w:ascii="Calibri" w:eastAsia="宋体" w:hAnsi="Calibri" w:cs="Times New Roman"/>
      <w:sz w:val="4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2023-10-10T00:48:00Z</dcterms:created>
  <dcterms:modified xsi:type="dcterms:W3CDTF">2023-10-10T00:48:00Z</dcterms:modified>
</cp:coreProperties>
</file>