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8099" w14:textId="77777777" w:rsidR="005F512B" w:rsidRDefault="005F512B" w:rsidP="005F512B">
      <w:pPr>
        <w:pStyle w:val="a7"/>
        <w:widowControl/>
        <w:spacing w:before="360" w:beforeAutospacing="0" w:afterAutospacing="0" w:line="33" w:lineRule="atLeast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附件1</w:t>
      </w:r>
    </w:p>
    <w:p w14:paraId="27DF355D" w14:textId="77777777" w:rsidR="005F512B" w:rsidRDefault="005F512B" w:rsidP="005F512B">
      <w:pPr>
        <w:pStyle w:val="a7"/>
        <w:widowControl/>
        <w:spacing w:before="360" w:beforeAutospacing="0" w:afterAutospacing="0" w:line="33" w:lineRule="atLeast"/>
        <w:jc w:val="center"/>
        <w:rPr>
          <w:rFonts w:ascii="黑体" w:eastAsia="黑体" w:hAnsi="黑体" w:cs="黑体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44"/>
          <w:szCs w:val="44"/>
          <w:shd w:val="clear" w:color="auto" w:fill="FFFFFF"/>
        </w:rPr>
        <w:t>邵东市关于落实RCEP协定深入推进高质量发展的若干措施（征求意见稿）</w:t>
      </w:r>
    </w:p>
    <w:p w14:paraId="390F0B13" w14:textId="77777777" w:rsidR="005F512B" w:rsidRDefault="005F512B" w:rsidP="005F512B">
      <w:pPr>
        <w:pStyle w:val="a7"/>
        <w:widowControl/>
        <w:spacing w:beforeAutospacing="0" w:afterAutospacing="0"/>
        <w:ind w:firstLineChars="200" w:firstLine="48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spacing w:val="15"/>
          <w:sz w:val="32"/>
          <w:szCs w:val="32"/>
          <w:shd w:val="clear" w:color="auto" w:fill="FFFFFF"/>
        </w:rPr>
        <w:t>为深入推动我市构建对外开放合作和竞争新优势，落实商务部等6部门《关于高质量实施&lt;区域全面经济伙伴关系协定&gt;（RCEP）的指导意见》（商国际发〔2022〕10号），抢抓开放型经济新机遇，为高水平开放和高质量发展培育新动能，经市政府常务会议研究同意，制订以下措施。</w:t>
      </w:r>
    </w:p>
    <w:p w14:paraId="1128AD06" w14:textId="77777777" w:rsidR="005F512B" w:rsidRDefault="005F512B" w:rsidP="005F512B">
      <w:pPr>
        <w:pStyle w:val="a7"/>
        <w:widowControl/>
        <w:spacing w:beforeAutospacing="0" w:afterAutospacing="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一、扩大外贸企业发展规模。</w:t>
      </w:r>
    </w:p>
    <w:p w14:paraId="60827FD7" w14:textId="77777777" w:rsidR="005F512B" w:rsidRDefault="005F512B" w:rsidP="005F512B">
      <w:pPr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1、支持外贸企业做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强做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大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。支持外贸企业发展壮大，对年度内进出口额在100万美元以上的企业在技术升级、智能化改造、厂房租赁、设备更新、贷款利息等方面发生费用进行不超50%的补贴，单个企业补贴最高不超60万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元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人民币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096F51F2" w14:textId="77777777" w:rsidR="005F512B" w:rsidRDefault="005F512B" w:rsidP="005F512B">
      <w:pPr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2、支持外贸企业业绩“破零”。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对当年实现外贸业绩30万美元以上“破零”的企业，每家奖励1万元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人民币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。对经商务、财政备案、当年首次实现新增外贸进出口额2500万美元、3000万美元、3500万美元、4000万美元及以上的企业，分别给予每家70万元、80万元、90万元、100万元的奖励，每家企业上限不超100万元。</w:t>
      </w:r>
    </w:p>
    <w:p w14:paraId="0EA7678A" w14:textId="77777777" w:rsidR="005F512B" w:rsidRDefault="005F512B" w:rsidP="005F512B">
      <w:pPr>
        <w:ind w:firstLineChars="200" w:firstLine="643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3、支持企业开拓国际市场。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支持外贸企业通过实地参展、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线上参展、代参展等方式赴境外参展，支持行业协会、贸促机构举办各类境外自办展会，积极保障外贸企业人员出国（境）参展和开展商务洽谈。支持外贸企业参加境外重点展会，开拓国际市场。对我市外贸企业参加境外重点展会的，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就人员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交通费、展会费、展品运输费及保管费等相关费用给予不超过70%的支持，单个企业单次展会支持上限为5万元，同一企业同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年度最多支持4个展会。</w:t>
      </w:r>
    </w:p>
    <w:p w14:paraId="473BDC91" w14:textId="77777777" w:rsidR="005F512B" w:rsidRDefault="005F512B" w:rsidP="005F512B">
      <w:pPr>
        <w:pStyle w:val="a7"/>
        <w:widowControl/>
        <w:spacing w:beforeAutospacing="0" w:afterAutospacing="0"/>
        <w:ind w:firstLineChars="200" w:firstLine="643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4、支持外贸企业发展加工贸易。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新增加工贸易企业且当年产生业绩的，从上级安排的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加贸资金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中奖励5万元。</w:t>
      </w:r>
    </w:p>
    <w:p w14:paraId="5E8992CC" w14:textId="77777777" w:rsidR="005F512B" w:rsidRDefault="005F512B" w:rsidP="005F512B">
      <w:pPr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5、支持外贸企业开展产品境外认证。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对外贸企业开展管理体系认证、产品境外认证、境外专利申请和境外商标注册等项目费用给予不超过70%的支持，单个企业上限不超过5万元。支持外贸企业开展 AEO 高级认证。对通过海关 AEO 高级认证的企业，在认定过程中，为完善自身信用体系建设所产生的咨询辅导费、体系建设费、委托业务费等服务费用给予不超过50%的支持，单个企业支持上限为15万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5ED17A11" w14:textId="77777777" w:rsidR="005F512B" w:rsidRDefault="005F512B" w:rsidP="005F512B">
      <w:pPr>
        <w:pStyle w:val="a7"/>
        <w:widowControl/>
        <w:spacing w:beforeAutospacing="0" w:afterAutospacing="0"/>
        <w:ind w:firstLineChars="200" w:firstLine="643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6、加大出口信用保险的支持。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对外贸企业购买出口信用保险给予补贴，补贴标准为剔除省级补贴部分后自负部分的50%，单个企业上限不超过100万元。</w:t>
      </w:r>
    </w:p>
    <w:p w14:paraId="2544D5D7" w14:textId="77777777" w:rsidR="005F512B" w:rsidRDefault="005F512B" w:rsidP="005F512B">
      <w:pPr>
        <w:pStyle w:val="a7"/>
        <w:widowControl/>
        <w:spacing w:beforeAutospacing="0" w:afterAutospacing="0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二、促进外贸业</w:t>
      </w:r>
      <w:proofErr w:type="gramStart"/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态创新</w:t>
      </w:r>
      <w:proofErr w:type="gramEnd"/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发展</w:t>
      </w:r>
    </w:p>
    <w:p w14:paraId="5CCC4FA7" w14:textId="77777777" w:rsidR="005F512B" w:rsidRDefault="005F512B" w:rsidP="005F512B">
      <w:pPr>
        <w:pStyle w:val="a7"/>
        <w:widowControl/>
        <w:spacing w:beforeAutospacing="0" w:afterAutospacing="0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7、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支持外贸企业建设境外营销网络及海外仓。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鼓励引导外贸企业在境外设立营销机构、产品展示中心、海外仓等机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构，对在商务、财政报备且当年进出口额达到100万美元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以上的营销机构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，对其运行所产生的场租、设备购置、咨询、广告等费用给予不超10万元的补助。对在我市设立经营面积在500平米以上的进出口产品展示中心，对其运行产生的场租、设备购置等费用给予不超10万元的补助。</w:t>
      </w:r>
    </w:p>
    <w:p w14:paraId="25189C80" w14:textId="77777777" w:rsidR="005F512B" w:rsidRDefault="005F512B" w:rsidP="005F512B">
      <w:pPr>
        <w:pStyle w:val="a7"/>
        <w:widowControl/>
        <w:spacing w:beforeAutospacing="0" w:afterAutospacing="0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8、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支持外贸企业利用跨境电商平台开拓国际市场。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对企业运用中国制造网、阿里巴巴国际、全球贸易通、亚马逊、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速卖通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等第三方跨境电商平台的服务及推广等费用，且当年跨境平台交易额累计在300万美元以上的企业，给予不超过实际支出30%的支持，单个企业不超过10万元。</w:t>
      </w:r>
    </w:p>
    <w:p w14:paraId="3C38A461" w14:textId="77777777" w:rsidR="005F512B" w:rsidRDefault="005F512B" w:rsidP="005F512B">
      <w:pPr>
        <w:pStyle w:val="a7"/>
        <w:widowControl/>
        <w:spacing w:beforeAutospacing="0" w:afterAutospacing="0"/>
        <w:ind w:firstLineChars="200" w:firstLine="643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9、支持外贸综合服务平台的建设。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对引进的列入省商务厅外贸综合服务平台目录中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且考核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合格的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园区外贸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综合服务平台，每年给予不超过25万元的支持。</w:t>
      </w:r>
    </w:p>
    <w:p w14:paraId="6406FAD2" w14:textId="77777777" w:rsidR="005F512B" w:rsidRDefault="005F512B" w:rsidP="005F512B">
      <w:pPr>
        <w:pStyle w:val="a7"/>
        <w:widowControl/>
        <w:spacing w:beforeAutospacing="0" w:afterAutospacing="0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三、推动对外经济合作共赢</w:t>
      </w:r>
    </w:p>
    <w:p w14:paraId="7AD14578" w14:textId="77777777" w:rsidR="005F512B" w:rsidRDefault="005F512B" w:rsidP="005F512B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10. </w:t>
      </w: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支持企业境外直接投资</w:t>
      </w:r>
      <w:r>
        <w:rPr>
          <w:rFonts w:ascii="Times New Roman" w:eastAsia="楷体_GB2312" w:hAnsi="Times New Roman" w:cs="Times New Roman"/>
          <w:bCs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对年度内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获得境外投资备案（核准）证书、年度内对外实际投资额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万美元以上的境内企业，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按照当年中方实际投资额的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1%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给予一次性奖励支持，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单个企业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不超过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万元人民币。</w:t>
      </w:r>
    </w:p>
    <w:p w14:paraId="4962FE1C" w14:textId="77777777" w:rsidR="005F512B" w:rsidRDefault="005F512B" w:rsidP="005F512B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color w:val="000000"/>
          <w:kern w:val="0"/>
          <w:sz w:val="32"/>
          <w:szCs w:val="32"/>
        </w:rPr>
        <w:t xml:space="preserve">11. </w:t>
      </w: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支持对外承包工程。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在邵东注册、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当年完成营业额在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万美元以上的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对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外承包工程企业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完成营业额每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万美元支持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万元人民币，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单个企业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支持金额不超过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万元人民币。商务部系统备案并经湖南省商务厅认可的对外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承包工程二手单可参照上述标准执行。</w:t>
      </w:r>
    </w:p>
    <w:p w14:paraId="75BB5933" w14:textId="77777777" w:rsidR="005F512B" w:rsidRDefault="005F512B" w:rsidP="005F512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以上支持政策与中央、省、市有相关奖励政策重复可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择最高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标准申报，同一政策不重复奖励。本《若干措施》与法律、法规、规章及上级政策文件规定不一致的，从其规定。</w:t>
      </w:r>
    </w:p>
    <w:p w14:paraId="2F5A0259" w14:textId="77777777" w:rsidR="005F512B" w:rsidRDefault="005F512B" w:rsidP="005F512B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本文件自印发之日起施行，有效期为1年，解释权归邵东市人民政府。</w:t>
      </w:r>
    </w:p>
    <w:p w14:paraId="2B18DDE2" w14:textId="77777777" w:rsidR="005F512B" w:rsidRDefault="005F512B" w:rsidP="005F512B">
      <w:pPr>
        <w:pStyle w:val="a7"/>
        <w:widowControl/>
        <w:spacing w:beforeAutospacing="0" w:afterAutospacing="0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14:paraId="5A0338EA" w14:textId="77777777" w:rsidR="00AA7145" w:rsidRPr="005F512B" w:rsidRDefault="00AA7145"/>
    <w:sectPr w:rsidR="00AA7145" w:rsidRPr="005F5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D147" w14:textId="77777777" w:rsidR="00217F1C" w:rsidRDefault="00217F1C" w:rsidP="005F512B">
      <w:r>
        <w:separator/>
      </w:r>
    </w:p>
  </w:endnote>
  <w:endnote w:type="continuationSeparator" w:id="0">
    <w:p w14:paraId="0189A2CE" w14:textId="77777777" w:rsidR="00217F1C" w:rsidRDefault="00217F1C" w:rsidP="005F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C1B04" w14:textId="77777777" w:rsidR="00217F1C" w:rsidRDefault="00217F1C" w:rsidP="005F512B">
      <w:r>
        <w:separator/>
      </w:r>
    </w:p>
  </w:footnote>
  <w:footnote w:type="continuationSeparator" w:id="0">
    <w:p w14:paraId="4ED991B6" w14:textId="77777777" w:rsidR="00217F1C" w:rsidRDefault="00217F1C" w:rsidP="005F5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45"/>
    <w:rsid w:val="00217F1C"/>
    <w:rsid w:val="005F512B"/>
    <w:rsid w:val="00AA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44F9517-6A6E-4453-83DA-966EC339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F512B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1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F51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12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F512B"/>
    <w:rPr>
      <w:sz w:val="18"/>
      <w:szCs w:val="18"/>
    </w:rPr>
  </w:style>
  <w:style w:type="paragraph" w:styleId="a7">
    <w:name w:val="Normal (Web)"/>
    <w:basedOn w:val="a"/>
    <w:autoRedefine/>
    <w:qFormat/>
    <w:rsid w:val="005F512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2024-03-05T01:30:00Z</dcterms:created>
  <dcterms:modified xsi:type="dcterms:W3CDTF">2024-03-05T01:30:00Z</dcterms:modified>
</cp:coreProperties>
</file>